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17994" w:rsidRDefault="00517994" w:rsidP="00837240">
      <w:pPr>
        <w:jc w:val="center"/>
        <w:rPr>
          <w:rFonts w:ascii="Arial" w:hAnsi="Arial" w:cs="Arial"/>
          <w:b/>
          <w:bCs/>
          <w:sz w:val="20"/>
          <w:szCs w:val="20"/>
        </w:rPr>
      </w:pPr>
    </w:p>
    <w:p w:rsidR="00837240" w:rsidRDefault="00573286" w:rsidP="00837240">
      <w:pPr>
        <w:jc w:val="center"/>
        <w:rPr>
          <w:rFonts w:ascii="Arial" w:hAnsi="Arial" w:cs="Arial"/>
          <w:b/>
          <w:bCs/>
          <w:sz w:val="20"/>
          <w:szCs w:val="20"/>
        </w:rPr>
      </w:pPr>
      <w:r>
        <w:rPr>
          <w:rFonts w:ascii="Arial" w:hAnsi="Arial" w:cs="Arial"/>
          <w:b/>
          <w:bCs/>
          <w:sz w:val="20"/>
          <w:szCs w:val="20"/>
        </w:rPr>
        <w:t xml:space="preserve">NM FORM 60:  </w:t>
      </w:r>
      <w:r w:rsidR="00837240" w:rsidRPr="00837240">
        <w:rPr>
          <w:rFonts w:ascii="Arial" w:hAnsi="Arial" w:cs="Arial"/>
          <w:b/>
          <w:bCs/>
          <w:sz w:val="20"/>
          <w:szCs w:val="20"/>
        </w:rPr>
        <w:t>AGGREGATION—LOAN POLICY ENDORSEMENT</w:t>
      </w:r>
    </w:p>
    <w:p w:rsidR="00E169B5" w:rsidRDefault="00573286" w:rsidP="00573286">
      <w:pPr>
        <w:jc w:val="center"/>
        <w:rPr>
          <w:rFonts w:ascii="Arial" w:hAnsi="Arial" w:cs="Arial"/>
          <w:b/>
          <w:bCs/>
          <w:sz w:val="20"/>
          <w:szCs w:val="20"/>
        </w:rPr>
      </w:pPr>
      <w:r>
        <w:rPr>
          <w:rFonts w:ascii="Arial" w:hAnsi="Arial" w:cs="Arial"/>
          <w:b/>
          <w:bCs/>
          <w:sz w:val="20"/>
          <w:szCs w:val="20"/>
        </w:rPr>
        <w:t xml:space="preserve"> </w:t>
      </w:r>
    </w:p>
    <w:p w:rsidR="00E169B5" w:rsidRPr="00837240" w:rsidRDefault="00E169B5" w:rsidP="00837240">
      <w:pPr>
        <w:jc w:val="center"/>
        <w:rPr>
          <w:rFonts w:ascii="Arial" w:hAnsi="Arial" w:cs="Arial"/>
          <w:b/>
          <w:bCs/>
          <w:sz w:val="20"/>
          <w:szCs w:val="20"/>
        </w:rPr>
      </w:pPr>
      <w:r>
        <w:rPr>
          <w:rFonts w:ascii="Arial" w:hAnsi="Arial" w:cs="Arial"/>
          <w:b/>
          <w:bCs/>
          <w:sz w:val="20"/>
          <w:szCs w:val="20"/>
        </w:rPr>
        <w:t>This endorsement is issued as part of</w:t>
      </w:r>
    </w:p>
    <w:p w:rsidR="00837240" w:rsidRPr="00837240" w:rsidRDefault="00E169B5" w:rsidP="00837240">
      <w:pPr>
        <w:jc w:val="center"/>
        <w:rPr>
          <w:rFonts w:ascii="Arial" w:hAnsi="Arial" w:cs="Arial"/>
          <w:b/>
          <w:bCs/>
          <w:sz w:val="20"/>
          <w:szCs w:val="20"/>
        </w:rPr>
      </w:pPr>
      <w:r>
        <w:rPr>
          <w:rFonts w:ascii="Arial" w:hAnsi="Arial" w:cs="Arial"/>
          <w:b/>
          <w:bCs/>
          <w:sz w:val="20"/>
          <w:szCs w:val="20"/>
        </w:rPr>
        <w:t>Policy Number</w:t>
      </w:r>
      <w:r w:rsidR="00837240" w:rsidRPr="00837240">
        <w:rPr>
          <w:rFonts w:ascii="Arial" w:hAnsi="Arial" w:cs="Arial"/>
          <w:b/>
          <w:bCs/>
          <w:sz w:val="20"/>
          <w:szCs w:val="20"/>
        </w:rPr>
        <w:t>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2D5AE4" w:rsidRDefault="00573286" w:rsidP="006B120F">
      <w:pPr>
        <w:jc w:val="both"/>
        <w:rPr>
          <w:rFonts w:ascii="Arial" w:hAnsi="Arial" w:cs="Arial"/>
          <w:bCs/>
          <w:iCs/>
          <w:sz w:val="20"/>
          <w:szCs w:val="20"/>
        </w:rPr>
      </w:pPr>
      <w:r>
        <w:rPr>
          <w:rFonts w:ascii="Arial" w:hAnsi="Arial" w:cs="Arial"/>
          <w:sz w:val="20"/>
          <w:szCs w:val="20"/>
        </w:rPr>
        <w:t xml:space="preserve"> </w:t>
      </w: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STATE</w:t>
            </w:r>
            <w:r w:rsidRPr="00837240">
              <w:rPr>
                <w:rFonts w:ascii="Arial" w:hAnsi="Arial"/>
                <w:kern w:val="18"/>
                <w:sz w:val="18"/>
                <w:szCs w:val="20"/>
              </w:rPr>
              <w:t>:</w:t>
            </w:r>
          </w:p>
        </w:tc>
        <w:tc>
          <w:tcPr>
            <w:tcW w:w="4266"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 xml:space="preserve">AMOUNT </w:t>
            </w:r>
            <w:r w:rsidRPr="00837240">
              <w:rPr>
                <w:rFonts w:ascii="Arial" w:hAnsi="Arial"/>
                <w:caps/>
                <w:color w:val="000000"/>
                <w:kern w:val="18"/>
                <w:sz w:val="18"/>
                <w:szCs w:val="20"/>
                <w:u w:val="single"/>
              </w:rPr>
              <w:t>of Insurance</w:t>
            </w:r>
            <w:r w:rsidRPr="00837240">
              <w:rPr>
                <w:rFonts w:ascii="Arial" w:hAnsi="Arial"/>
                <w:caps/>
                <w:color w:val="000000"/>
                <w:kern w:val="18"/>
                <w:sz w:val="18"/>
                <w:szCs w:val="20"/>
              </w:rPr>
              <w: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lastRenderedPageBreak/>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w:t>
      </w:r>
      <w:r w:rsidRPr="00E169B5">
        <w:rPr>
          <w:rFonts w:ascii="Arial" w:hAnsi="Arial" w:cs="Arial"/>
          <w:sz w:val="20"/>
          <w:szCs w:val="20"/>
          <w:lang w:val="x-none" w:eastAsia="x-none"/>
        </w:rPr>
        <w:t>Insured Claimant</w:t>
      </w:r>
      <w:r w:rsidRPr="00837240">
        <w:rPr>
          <w:rFonts w:ascii="Arial" w:hAnsi="Arial" w:cs="Arial"/>
          <w:sz w:val="20"/>
          <w:szCs w:val="20"/>
          <w:lang w:val="x-none" w:eastAsia="x-none"/>
        </w:rPr>
        <w:t xml:space="preserve"> who has suffered loss or damage by reason of matters insured against by this policy.</w:t>
      </w:r>
      <w:r w:rsidRPr="00837240">
        <w:rPr>
          <w:rFonts w:ascii="Arial" w:hAnsi="Arial" w:cs="Arial"/>
          <w:sz w:val="20"/>
          <w:szCs w:val="20"/>
          <w:lang w:eastAsia="x-none"/>
        </w:rPr>
        <w:t xml:space="preserve"> </w:t>
      </w:r>
      <w:bookmarkStart w:id="2"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are restricted to the terms and provisions of this policy. </w:t>
      </w:r>
    </w:p>
    <w:bookmarkEnd w:id="2"/>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3" w:name="_Hlk53672496"/>
      <w:r w:rsidRPr="00837240">
        <w:rPr>
          <w:rFonts w:ascii="Arial" w:hAnsi="Arial" w:cs="Arial"/>
          <w:sz w:val="20"/>
          <w:szCs w:val="20"/>
        </w:rPr>
        <w:t>Government Mortgage Agency or Instrumentality</w:t>
      </w:r>
      <w:bookmarkEnd w:id="3"/>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4" w:name="_Hlk53672522"/>
      <w:r w:rsidRPr="00837240">
        <w:rPr>
          <w:rFonts w:ascii="Arial" w:hAnsi="Arial" w:cs="Arial"/>
          <w:sz w:val="20"/>
          <w:szCs w:val="20"/>
        </w:rPr>
        <w:t>relating to the Title or the Insured Mortgage</w:t>
      </w:r>
      <w:bookmarkEnd w:id="4"/>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5"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5"/>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6"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6"/>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7"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7"/>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 xml:space="preserve">This endorsement is issued as part of the policy. Except as it expressly states, it does not (i) modify any of </w:t>
      </w:r>
      <w:r w:rsidRPr="00837240">
        <w:rPr>
          <w:rFonts w:ascii="Arial" w:hAnsi="Arial" w:cs="Arial"/>
          <w:color w:val="000000"/>
          <w:sz w:val="20"/>
          <w:szCs w:val="20"/>
        </w:rPr>
        <w:lastRenderedPageBreak/>
        <w:t>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bookmarkEnd w:id="0"/>
    <w:bookmarkEnd w:id="1"/>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E169B5" w:rsidRPr="00573286" w:rsidRDefault="00573286" w:rsidP="00377ED5">
      <w:pPr>
        <w:pStyle w:val="NormalWeb"/>
        <w:spacing w:before="0" w:beforeAutospacing="0" w:after="0" w:afterAutospacing="0"/>
        <w:jc w:val="both"/>
        <w:rPr>
          <w:rFonts w:ascii="Arial" w:hAnsi="Arial" w:cs="Arial"/>
          <w:bCs/>
          <w:iCs/>
          <w:sz w:val="20"/>
          <w:szCs w:val="20"/>
        </w:rPr>
      </w:pPr>
      <w:r w:rsidRPr="00573286">
        <w:rPr>
          <w:rFonts w:ascii="Arial" w:hAnsi="Arial" w:cs="Arial"/>
          <w:bCs/>
          <w:iCs/>
          <w:sz w:val="20"/>
          <w:szCs w:val="20"/>
        </w:rPr>
        <w:t>[Witness clause]</w:t>
      </w:r>
    </w:p>
    <w:p w:rsidR="00573286" w:rsidRPr="00573286" w:rsidRDefault="00573286" w:rsidP="00377ED5">
      <w:pPr>
        <w:pStyle w:val="NormalWeb"/>
        <w:spacing w:before="0" w:beforeAutospacing="0" w:after="0" w:afterAutospacing="0"/>
        <w:jc w:val="both"/>
        <w:rPr>
          <w:rFonts w:ascii="Arial" w:hAnsi="Arial" w:cs="Arial"/>
          <w:bCs/>
          <w:iCs/>
          <w:sz w:val="20"/>
          <w:szCs w:val="20"/>
        </w:rPr>
      </w:pPr>
    </w:p>
    <w:p w:rsidR="00573286" w:rsidRPr="00573286" w:rsidRDefault="00573286" w:rsidP="00377ED5">
      <w:pPr>
        <w:pStyle w:val="NormalWeb"/>
        <w:spacing w:before="0" w:beforeAutospacing="0" w:after="0" w:afterAutospacing="0"/>
        <w:jc w:val="both"/>
        <w:rPr>
          <w:rFonts w:ascii="Arial" w:hAnsi="Arial" w:cs="Arial"/>
          <w:bCs/>
          <w:iCs/>
          <w:sz w:val="20"/>
          <w:szCs w:val="20"/>
        </w:rPr>
      </w:pPr>
      <w:r w:rsidRPr="00573286">
        <w:rPr>
          <w:rFonts w:ascii="Arial" w:hAnsi="Arial" w:cs="Arial"/>
          <w:bCs/>
          <w:iCs/>
          <w:sz w:val="20"/>
          <w:szCs w:val="20"/>
        </w:rPr>
        <w:t>[DATE]</w:t>
      </w:r>
    </w:p>
    <w:p w:rsidR="00573286" w:rsidRDefault="00573286" w:rsidP="00377ED5">
      <w:pPr>
        <w:pStyle w:val="NormalWeb"/>
        <w:spacing w:before="0" w:beforeAutospacing="0" w:after="0" w:afterAutospacing="0"/>
        <w:jc w:val="both"/>
        <w:rPr>
          <w:rFonts w:ascii="Arial" w:hAnsi="Arial" w:cs="Arial"/>
          <w:b/>
          <w:bCs/>
          <w:iCs/>
          <w:sz w:val="20"/>
          <w:szCs w:val="20"/>
        </w:rPr>
      </w:pPr>
    </w:p>
    <w:p w:rsidR="00573286" w:rsidRDefault="00573286"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328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BB" w:rsidRDefault="008220BB">
      <w:r>
        <w:separator/>
      </w:r>
    </w:p>
  </w:endnote>
  <w:endnote w:type="continuationSeparator" w:id="0">
    <w:p w:rsidR="008220BB" w:rsidRDefault="0082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169B5">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169B5">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B5" w:rsidRDefault="00A04560" w:rsidP="00B8076C">
    <w:pPr>
      <w:pStyle w:val="Footer"/>
      <w:rPr>
        <w:rFonts w:ascii="Arial" w:hAnsi="Arial" w:cs="Arial"/>
        <w:sz w:val="16"/>
        <w:szCs w:val="16"/>
      </w:rPr>
    </w:pPr>
    <w:r>
      <w:rPr>
        <w:rFonts w:ascii="Arial" w:hAnsi="Arial" w:cs="Arial"/>
        <w:sz w:val="16"/>
        <w:szCs w:val="16"/>
      </w:rPr>
      <w:t>Modeled on, but not necessarily identical to</w:t>
    </w:r>
    <w:r w:rsidR="00573286">
      <w:rPr>
        <w:rFonts w:ascii="Arial" w:hAnsi="Arial" w:cs="Arial"/>
        <w:sz w:val="16"/>
        <w:szCs w:val="16"/>
      </w:rPr>
      <w:t>,</w:t>
    </w:r>
    <w:r>
      <w:rPr>
        <w:rFonts w:ascii="Arial" w:hAnsi="Arial" w:cs="Arial"/>
        <w:sz w:val="16"/>
        <w:szCs w:val="16"/>
      </w:rPr>
      <w:t xml:space="preserve"> </w:t>
    </w:r>
    <w:r w:rsidR="00665FCF">
      <w:rPr>
        <w:rFonts w:ascii="Arial" w:hAnsi="Arial" w:cs="Arial"/>
        <w:sz w:val="16"/>
        <w:szCs w:val="16"/>
      </w:rPr>
      <w:t>ALTA</w:t>
    </w:r>
    <w:r w:rsidR="00573286">
      <w:rPr>
        <w:rFonts w:ascii="Arial" w:hAnsi="Arial" w:cs="Arial"/>
        <w:sz w:val="16"/>
        <w:szCs w:val="16"/>
      </w:rPr>
      <w:t xml:space="preserve"> Form 12, </w:t>
    </w:r>
    <w:r>
      <w:rPr>
        <w:rFonts w:ascii="Arial" w:hAnsi="Arial" w:cs="Arial"/>
        <w:sz w:val="16"/>
        <w:szCs w:val="16"/>
      </w:rPr>
      <w:t>2021</w:t>
    </w:r>
    <w:r w:rsidR="00573286">
      <w:rPr>
        <w:rFonts w:ascii="Arial" w:hAnsi="Arial" w:cs="Arial"/>
        <w:sz w:val="16"/>
        <w:szCs w:val="16"/>
      </w:rPr>
      <w:t xml:space="preserve"> </w:t>
    </w:r>
    <w:r>
      <w:rPr>
        <w:rFonts w:ascii="Arial" w:hAnsi="Arial" w:cs="Arial"/>
        <w:sz w:val="16"/>
        <w:szCs w:val="16"/>
      </w:rPr>
      <w:t>v</w:t>
    </w:r>
    <w:r w:rsidR="00573286">
      <w:rPr>
        <w:rFonts w:ascii="Arial" w:hAnsi="Arial" w:cs="Arial"/>
        <w:sz w:val="16"/>
        <w:szCs w:val="16"/>
      </w:rPr>
      <w:t xml:space="preserve">. </w:t>
    </w:r>
    <w:r>
      <w:rPr>
        <w:rFonts w:ascii="Arial" w:hAnsi="Arial" w:cs="Arial"/>
        <w:sz w:val="16"/>
        <w:szCs w:val="16"/>
      </w:rPr>
      <w:t>01.00</w:t>
    </w:r>
    <w:r w:rsidR="00573286">
      <w:rPr>
        <w:rFonts w:ascii="Arial" w:hAnsi="Arial" w:cs="Arial"/>
        <w:sz w:val="16"/>
        <w:szCs w:val="16"/>
      </w:rPr>
      <w:t xml:space="preserve"> (adopted 07-01-2021)</w:t>
    </w:r>
  </w:p>
  <w:p w:rsidR="00573286" w:rsidRDefault="00573286" w:rsidP="00B8076C">
    <w:pPr>
      <w:pStyle w:val="Footer"/>
      <w:rPr>
        <w:rFonts w:ascii="Arial" w:hAnsi="Arial" w:cs="Arial"/>
        <w:sz w:val="16"/>
        <w:szCs w:val="16"/>
      </w:rPr>
    </w:pPr>
    <w:r>
      <w:rPr>
        <w:rFonts w:ascii="Arial" w:hAnsi="Arial" w:cs="Arial"/>
        <w:sz w:val="16"/>
        <w:szCs w:val="16"/>
      </w:rPr>
      <w:t>WFG 12.0-21 NM 60v24</w:t>
    </w:r>
  </w:p>
  <w:p w:rsidR="00B8076C" w:rsidRDefault="00573286" w:rsidP="00B8076C">
    <w:pPr>
      <w:pStyle w:val="Footer"/>
      <w:rPr>
        <w:rFonts w:ascii="Arial" w:hAnsi="Arial" w:cs="Arial"/>
        <w:sz w:val="16"/>
        <w:szCs w:val="16"/>
      </w:rPr>
    </w:pPr>
    <w:r>
      <w:rPr>
        <w:rFonts w:ascii="Arial" w:hAnsi="Arial" w:cs="Arial"/>
        <w:sz w:val="16"/>
        <w:szCs w:val="16"/>
      </w:rPr>
      <w:t xml:space="preserve"> </w:t>
    </w:r>
  </w:p>
  <w:p w:rsidR="00B8076C" w:rsidRDefault="00A04560" w:rsidP="00B8076C">
    <w:pPr>
      <w:pStyle w:val="Footer"/>
      <w:jc w:val="right"/>
      <w:rPr>
        <w:rFonts w:ascii="Arial" w:hAnsi="Arial" w:cs="Arial"/>
        <w:sz w:val="16"/>
        <w:szCs w:val="16"/>
      </w:rPr>
    </w:pPr>
    <w:r>
      <w:rPr>
        <w:rFonts w:ascii="Arial" w:hAnsi="Arial" w:cs="Arial"/>
        <w:sz w:val="16"/>
        <w:szCs w:val="16"/>
      </w:rPr>
      <w:t xml:space="preserve"> </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732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73286">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B5" w:rsidRPr="00E169B5" w:rsidRDefault="00665FCF" w:rsidP="00576D60">
    <w:pPr>
      <w:pStyle w:val="Footer"/>
      <w:tabs>
        <w:tab w:val="left" w:pos="1920"/>
      </w:tabs>
      <w:rPr>
        <w:rFonts w:ascii="Arial" w:hAnsi="Arial" w:cs="Arial"/>
        <w:sz w:val="16"/>
        <w:szCs w:val="16"/>
      </w:rPr>
    </w:pPr>
    <w:r w:rsidRPr="00E169B5">
      <w:rPr>
        <w:rFonts w:ascii="Arial" w:hAnsi="Arial" w:cs="Arial"/>
        <w:sz w:val="16"/>
        <w:szCs w:val="16"/>
      </w:rPr>
      <w:t>WFG 12</w:t>
    </w:r>
    <w:r w:rsidR="00517994" w:rsidRPr="00E169B5">
      <w:rPr>
        <w:rFonts w:ascii="Arial" w:hAnsi="Arial" w:cs="Arial"/>
        <w:sz w:val="16"/>
        <w:szCs w:val="16"/>
      </w:rPr>
      <w:t>.0</w:t>
    </w:r>
    <w:r w:rsidRPr="00E169B5">
      <w:rPr>
        <w:rFonts w:ascii="Arial" w:hAnsi="Arial" w:cs="Arial"/>
        <w:sz w:val="16"/>
        <w:szCs w:val="16"/>
      </w:rPr>
      <w:t xml:space="preserve">-21 </w:t>
    </w:r>
    <w:r w:rsidR="00E169B5" w:rsidRPr="00E169B5">
      <w:rPr>
        <w:rFonts w:ascii="Arial" w:hAnsi="Arial" w:cs="Arial"/>
        <w:sz w:val="16"/>
        <w:szCs w:val="16"/>
      </w:rPr>
      <w:t>NM 60v23</w:t>
    </w:r>
    <w:r w:rsidRPr="00E169B5">
      <w:rPr>
        <w:rFonts w:ascii="Arial" w:hAnsi="Arial" w:cs="Arial"/>
        <w:sz w:val="16"/>
        <w:szCs w:val="16"/>
      </w:rPr>
      <w:tab/>
    </w:r>
    <w:r w:rsidRPr="00E169B5">
      <w:rPr>
        <w:rFonts w:ascii="Arial" w:hAnsi="Arial" w:cs="Arial"/>
        <w:sz w:val="16"/>
        <w:szCs w:val="16"/>
      </w:rPr>
      <w:tab/>
    </w:r>
    <w:r w:rsidR="00E169B5">
      <w:rPr>
        <w:rFonts w:ascii="Arial" w:hAnsi="Arial" w:cs="Arial"/>
        <w:sz w:val="16"/>
        <w:szCs w:val="16"/>
      </w:rPr>
      <w:t xml:space="preserve">                                            </w:t>
    </w:r>
    <w:r w:rsidR="00E169B5" w:rsidRPr="00E169B5">
      <w:rPr>
        <w:rFonts w:ascii="Arial" w:hAnsi="Arial" w:cs="Arial"/>
        <w:sz w:val="16"/>
        <w:szCs w:val="16"/>
      </w:rPr>
      <w:t xml:space="preserve">Modeled on, but not necessarily identical to </w:t>
    </w:r>
    <w:r w:rsidRPr="00E169B5">
      <w:rPr>
        <w:rFonts w:ascii="Arial" w:hAnsi="Arial" w:cs="Arial"/>
        <w:sz w:val="16"/>
        <w:szCs w:val="16"/>
      </w:rPr>
      <w:t>ALTA</w:t>
    </w:r>
    <w:r w:rsidR="00E169B5" w:rsidRPr="00E169B5">
      <w:rPr>
        <w:rFonts w:ascii="Arial" w:hAnsi="Arial" w:cs="Arial"/>
        <w:sz w:val="16"/>
        <w:szCs w:val="16"/>
      </w:rPr>
      <w:t xml:space="preserve"> Form 12.2021v01.00</w:t>
    </w:r>
  </w:p>
  <w:p w:rsidR="00576D60" w:rsidRPr="00E169B5" w:rsidRDefault="00E169B5" w:rsidP="00576D60">
    <w:pPr>
      <w:pStyle w:val="Footer"/>
      <w:tabs>
        <w:tab w:val="left" w:pos="1920"/>
      </w:tabs>
      <w:rPr>
        <w:rFonts w:ascii="Arial" w:hAnsi="Arial" w:cs="Arial"/>
        <w:sz w:val="16"/>
        <w:szCs w:val="16"/>
      </w:rPr>
    </w:pPr>
    <w:r w:rsidRPr="00E169B5">
      <w:rPr>
        <w:rFonts w:ascii="Arial" w:hAnsi="Arial" w:cs="Arial"/>
        <w:sz w:val="16"/>
        <w:szCs w:val="16"/>
      </w:rPr>
      <w:t>NM Form 60</w:t>
    </w:r>
    <w:r>
      <w:rPr>
        <w:rFonts w:ascii="Arial" w:hAnsi="Arial" w:cs="Arial"/>
        <w:sz w:val="16"/>
        <w:szCs w:val="16"/>
      </w:rPr>
      <w:t xml:space="preserve">                                                                                                  </w:t>
    </w:r>
    <w:r w:rsidR="00576D60" w:rsidRPr="00E169B5">
      <w:rPr>
        <w:rFonts w:ascii="Arial" w:hAnsi="Arial" w:cs="Arial"/>
        <w:sz w:val="16"/>
        <w:szCs w:val="16"/>
      </w:rPr>
      <w:t>Aggregation- Loan Policy Endorsement</w:t>
    </w:r>
    <w:r w:rsidRPr="00E169B5">
      <w:rPr>
        <w:rFonts w:ascii="Arial" w:hAnsi="Arial" w:cs="Arial"/>
        <w:sz w:val="16"/>
        <w:szCs w:val="16"/>
      </w:rPr>
      <w:t xml:space="preserve"> 07-01-2021</w:t>
    </w:r>
  </w:p>
  <w:p w:rsidR="00576D60" w:rsidRPr="00E169B5" w:rsidRDefault="00576D60" w:rsidP="00576D60">
    <w:pPr>
      <w:pStyle w:val="Footer"/>
      <w:tabs>
        <w:tab w:val="left" w:pos="1920"/>
      </w:tabs>
      <w:rPr>
        <w:rFonts w:ascii="Arial" w:hAnsi="Arial" w:cs="Arial"/>
        <w:sz w:val="16"/>
        <w:szCs w:val="16"/>
      </w:rPr>
    </w:pPr>
    <w:r w:rsidRPr="00E169B5">
      <w:rPr>
        <w:rFonts w:ascii="Arial" w:hAnsi="Arial" w:cs="Arial"/>
        <w:sz w:val="16"/>
        <w:szCs w:val="16"/>
      </w:rPr>
      <w:tab/>
    </w:r>
    <w:r w:rsidRPr="00E169B5">
      <w:rPr>
        <w:rFonts w:ascii="Arial" w:hAnsi="Arial" w:cs="Arial"/>
        <w:sz w:val="16"/>
        <w:szCs w:val="16"/>
      </w:rPr>
      <w:tab/>
    </w:r>
    <w:r w:rsidRPr="00E169B5">
      <w:rPr>
        <w:rFonts w:ascii="Arial" w:hAnsi="Arial" w:cs="Arial"/>
        <w:sz w:val="16"/>
        <w:szCs w:val="16"/>
      </w:rPr>
      <w:tab/>
    </w:r>
    <w:r w:rsidR="00E169B5">
      <w:rPr>
        <w:rFonts w:ascii="Arial" w:hAnsi="Arial" w:cs="Arial"/>
        <w:sz w:val="16"/>
        <w:szCs w:val="16"/>
      </w:rPr>
      <w:t xml:space="preserve"> </w:t>
    </w: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7328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73286">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BB" w:rsidRDefault="008220BB">
      <w:r>
        <w:separator/>
      </w:r>
    </w:p>
  </w:footnote>
  <w:footnote w:type="continuationSeparator" w:id="0">
    <w:p w:rsidR="008220BB" w:rsidRDefault="0082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86" w:rsidRDefault="00573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9B5" w:rsidRPr="00573286" w:rsidRDefault="00573286" w:rsidP="00573286">
    <w:pPr>
      <w:pStyle w:val="Header"/>
      <w:jc w:val="right"/>
      <w:rPr>
        <w:rFonts w:ascii="Arial" w:hAnsi="Arial" w:cs="Arial"/>
        <w:sz w:val="18"/>
        <w:szCs w:val="18"/>
      </w:rPr>
    </w:pPr>
    <w:r w:rsidRPr="00573286">
      <w:rPr>
        <w:rFonts w:ascii="Arial" w:hAnsi="Arial" w:cs="Arial"/>
        <w:sz w:val="18"/>
        <w:szCs w:val="18"/>
      </w:rPr>
      <w:t>Aggregation – Loan Policy</w:t>
    </w:r>
  </w:p>
  <w:p w:rsidR="00573286" w:rsidRPr="00573286" w:rsidRDefault="00573286" w:rsidP="00573286">
    <w:pPr>
      <w:pStyle w:val="Header"/>
      <w:jc w:val="right"/>
      <w:rPr>
        <w:rFonts w:ascii="Arial" w:hAnsi="Arial" w:cs="Arial"/>
        <w:sz w:val="18"/>
        <w:szCs w:val="18"/>
      </w:rPr>
    </w:pPr>
    <w:r w:rsidRPr="00573286">
      <w:rPr>
        <w:rFonts w:ascii="Arial" w:hAnsi="Arial" w:cs="Arial"/>
        <w:sz w:val="18"/>
        <w:szCs w:val="18"/>
      </w:rPr>
      <w:t>NM FORM 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573286" w:rsidRDefault="00576D60" w:rsidP="00573286">
    <w:pPr>
      <w:pStyle w:val="Header"/>
      <w:jc w:val="right"/>
      <w:rPr>
        <w:rFonts w:ascii="Arial" w:hAnsi="Arial" w:cs="Arial"/>
        <w:sz w:val="18"/>
        <w:szCs w:val="18"/>
      </w:rPr>
    </w:pPr>
    <w:bookmarkStart w:id="8" w:name="_GoBack"/>
    <w:r w:rsidRPr="00573286">
      <w:rPr>
        <w:rFonts w:ascii="Arial" w:hAnsi="Arial" w:cs="Arial"/>
        <w:noProof/>
        <w:sz w:val="18"/>
        <w:szCs w:val="18"/>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-1062051</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286" w:rsidRPr="00573286">
      <w:rPr>
        <w:rFonts w:ascii="Arial" w:hAnsi="Arial" w:cs="Arial"/>
        <w:sz w:val="18"/>
        <w:szCs w:val="18"/>
      </w:rPr>
      <w:t>Aggregation – Loan Policy</w:t>
    </w:r>
  </w:p>
  <w:p w:rsidR="00573286" w:rsidRPr="00573286" w:rsidRDefault="00573286" w:rsidP="00573286">
    <w:pPr>
      <w:pStyle w:val="Header"/>
      <w:jc w:val="right"/>
      <w:rPr>
        <w:rFonts w:ascii="Arial" w:hAnsi="Arial" w:cs="Arial"/>
        <w:sz w:val="18"/>
        <w:szCs w:val="18"/>
      </w:rPr>
    </w:pPr>
    <w:r w:rsidRPr="00573286">
      <w:rPr>
        <w:rFonts w:ascii="Arial" w:hAnsi="Arial" w:cs="Arial"/>
        <w:sz w:val="18"/>
        <w:szCs w:val="18"/>
      </w:rPr>
      <w:t>NM FORM 60</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38F"/>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6B95"/>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286"/>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34A"/>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0597"/>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0BB"/>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4560"/>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69B5"/>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2023-12-07T19:33:00Z</dcterms:created>
  <dcterms:modified xsi:type="dcterms:W3CDTF">2024-02-23T17:04:00Z</dcterms:modified>
</cp:coreProperties>
</file>